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569F44D4" w:rsidR="00453B12" w:rsidRPr="00C11589" w:rsidRDefault="00453B12" w:rsidP="00453B12">
      <w:pPr>
        <w:widowControl w:val="0"/>
        <w:tabs>
          <w:tab w:val="right" w:pos="9639"/>
        </w:tabs>
        <w:spacing w:after="0"/>
        <w:rPr>
          <w:rFonts w:ascii="Arial" w:eastAsia="Times New Roman" w:hAnsi="Arial"/>
          <w:b/>
          <w:bCs/>
          <w:sz w:val="24"/>
          <w:szCs w:val="24"/>
        </w:rPr>
      </w:pPr>
      <w:r w:rsidRPr="5F28F256">
        <w:rPr>
          <w:rFonts w:ascii="Arial" w:eastAsia="Times New Roman" w:hAnsi="Arial"/>
          <w:b/>
          <w:bCs/>
          <w:sz w:val="24"/>
          <w:szCs w:val="24"/>
        </w:rPr>
        <w:t>3GPP TSG-RAN WG2 Meeting #12</w:t>
      </w:r>
      <w:r w:rsidR="004E68B3">
        <w:rPr>
          <w:rFonts w:ascii="Arial" w:eastAsia="Times New Roman" w:hAnsi="Arial"/>
          <w:b/>
          <w:bCs/>
          <w:sz w:val="24"/>
          <w:szCs w:val="24"/>
        </w:rPr>
        <w:t>6</w:t>
      </w:r>
      <w:r w:rsidRPr="5F28F256">
        <w:rPr>
          <w:rFonts w:ascii="Arial" w:eastAsia="Times New Roman" w:hAnsi="Arial"/>
          <w:b/>
          <w:bCs/>
          <w:sz w:val="24"/>
          <w:szCs w:val="24"/>
        </w:rPr>
        <w:t xml:space="preserve">                                    </w:t>
      </w:r>
      <w:r>
        <w:tab/>
      </w:r>
      <w:r w:rsidRPr="5F28F256">
        <w:rPr>
          <w:rFonts w:ascii="Arial" w:eastAsia="Times New Roman" w:hAnsi="Arial"/>
          <w:b/>
          <w:bCs/>
          <w:sz w:val="24"/>
          <w:szCs w:val="24"/>
        </w:rPr>
        <w:t>R2-2</w:t>
      </w:r>
      <w:r w:rsidR="00745D1A" w:rsidRPr="5F28F256">
        <w:rPr>
          <w:rFonts w:ascii="Arial" w:eastAsia="Times New Roman" w:hAnsi="Arial"/>
          <w:b/>
          <w:bCs/>
          <w:sz w:val="24"/>
          <w:szCs w:val="24"/>
        </w:rPr>
        <w:t>40</w:t>
      </w:r>
      <w:r w:rsidR="0071762A">
        <w:rPr>
          <w:rFonts w:ascii="Arial" w:eastAsia="Times New Roman" w:hAnsi="Arial"/>
          <w:b/>
          <w:bCs/>
          <w:sz w:val="24"/>
          <w:szCs w:val="24"/>
        </w:rPr>
        <w:t>4681</w:t>
      </w:r>
    </w:p>
    <w:p w14:paraId="3CF0036C" w14:textId="66D73CFA" w:rsidR="00453B12" w:rsidRDefault="004E68B3" w:rsidP="00453B12">
      <w:pPr>
        <w:widowControl w:val="0"/>
        <w:tabs>
          <w:tab w:val="right" w:pos="9639"/>
        </w:tabs>
        <w:spacing w:after="0"/>
        <w:rPr>
          <w:rFonts w:ascii="Arial" w:eastAsia="Times New Roman" w:hAnsi="Arial"/>
          <w:b/>
          <w:bCs/>
          <w:i/>
          <w:sz w:val="24"/>
          <w:szCs w:val="24"/>
        </w:rPr>
      </w:pPr>
      <w:r w:rsidRPr="004E68B3">
        <w:rPr>
          <w:rFonts w:ascii="Arial" w:eastAsia="Times New Roman" w:hAnsi="Arial"/>
          <w:b/>
          <w:bCs/>
          <w:sz w:val="24"/>
          <w:szCs w:val="24"/>
        </w:rPr>
        <w:t>Fukuoka, Japan, May 20th – 24th, 2024</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317349DB" w:rsidR="00453B12" w:rsidRPr="006D3016" w:rsidRDefault="00453B12" w:rsidP="260259B2">
      <w:pPr>
        <w:tabs>
          <w:tab w:val="left" w:pos="1985"/>
        </w:tabs>
        <w:spacing w:after="120"/>
        <w:rPr>
          <w:rFonts w:ascii="Arial" w:eastAsia="MS Mincho" w:hAnsi="Arial" w:cs="Arial"/>
          <w:b/>
          <w:bCs/>
          <w:sz w:val="24"/>
          <w:szCs w:val="24"/>
        </w:rPr>
      </w:pPr>
      <w:r w:rsidRPr="260259B2">
        <w:rPr>
          <w:rFonts w:ascii="Arial" w:eastAsia="MS Mincho" w:hAnsi="Arial" w:cs="Arial"/>
          <w:b/>
          <w:bCs/>
          <w:sz w:val="24"/>
          <w:szCs w:val="24"/>
        </w:rPr>
        <w:t>Agenda item:</w:t>
      </w:r>
      <w:r>
        <w:tab/>
      </w:r>
      <w:r w:rsidR="001F709D" w:rsidRPr="260259B2">
        <w:rPr>
          <w:rFonts w:ascii="Arial" w:eastAsia="MS Mincho" w:hAnsi="Arial" w:cs="Arial"/>
          <w:b/>
          <w:bCs/>
          <w:sz w:val="24"/>
          <w:szCs w:val="24"/>
        </w:rPr>
        <w:t>8.8.</w:t>
      </w:r>
      <w:r w:rsidR="2018AE25" w:rsidRPr="260259B2">
        <w:rPr>
          <w:rFonts w:ascii="Arial" w:eastAsia="MS Mincho" w:hAnsi="Arial" w:cs="Arial"/>
          <w:b/>
          <w:bCs/>
          <w:sz w:val="24"/>
          <w:szCs w:val="24"/>
        </w:rPr>
        <w:t>6</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7F11A57B"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175E6">
        <w:rPr>
          <w:rFonts w:ascii="Arial" w:eastAsia="Times New Roman" w:hAnsi="Arial" w:cs="Arial"/>
          <w:b/>
          <w:bCs/>
          <w:sz w:val="24"/>
        </w:rPr>
        <w:t xml:space="preserve">Idle mode mobility from </w:t>
      </w:r>
      <w:r w:rsidR="00E51260">
        <w:rPr>
          <w:rFonts w:ascii="Arial" w:eastAsia="Times New Roman" w:hAnsi="Arial" w:cs="Arial"/>
          <w:b/>
          <w:bCs/>
          <w:sz w:val="24"/>
        </w:rPr>
        <w:t>LTE to NR NTN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72368B46" w14:textId="4B2EE97E" w:rsidR="00905F05" w:rsidRDefault="00E33924" w:rsidP="00BC4C81">
      <w:pPr>
        <w:pStyle w:val="B1"/>
        <w:ind w:left="0" w:firstLine="0"/>
      </w:pPr>
      <w:r>
        <w:t>In RAN2#125bis, following agreements were made.</w:t>
      </w:r>
    </w:p>
    <w:p w14:paraId="751C1C99" w14:textId="77777777" w:rsidR="00E33924" w:rsidRDefault="00E33924" w:rsidP="00E33924">
      <w:pPr>
        <w:pStyle w:val="Doc-text2"/>
        <w:pBdr>
          <w:top w:val="single" w:sz="4" w:space="1" w:color="auto"/>
          <w:left w:val="single" w:sz="4" w:space="4" w:color="auto"/>
          <w:bottom w:val="single" w:sz="4" w:space="1" w:color="auto"/>
          <w:right w:val="single" w:sz="4" w:space="4" w:color="auto"/>
        </w:pBdr>
      </w:pPr>
      <w:r>
        <w:t>Agreement:</w:t>
      </w:r>
    </w:p>
    <w:p w14:paraId="52822207" w14:textId="77777777" w:rsidR="00E33924" w:rsidRDefault="00E33924" w:rsidP="00E33924">
      <w:pPr>
        <w:pStyle w:val="Doc-text2"/>
        <w:numPr>
          <w:ilvl w:val="0"/>
          <w:numId w:val="35"/>
        </w:numPr>
        <w:pBdr>
          <w:top w:val="single" w:sz="4" w:space="1" w:color="auto"/>
          <w:left w:val="single" w:sz="4" w:space="4" w:color="auto"/>
          <w:bottom w:val="single" w:sz="4" w:space="1" w:color="auto"/>
          <w:right w:val="single" w:sz="4" w:space="4" w:color="auto"/>
        </w:pBdr>
      </w:pPr>
      <w:r>
        <w:t xml:space="preserve">For idle mode mobility from LTE to NR NTN, at least normal LTE UE are in scope. Can come back in the next meeting to check if also </w:t>
      </w:r>
      <w:proofErr w:type="spellStart"/>
      <w:r>
        <w:t>eMTC</w:t>
      </w:r>
      <w:proofErr w:type="spellEnd"/>
      <w:r>
        <w:t xml:space="preserve"> UE and NB-IoT UEs could also be considered in </w:t>
      </w:r>
      <w:proofErr w:type="gramStart"/>
      <w:r>
        <w:t>scope</w:t>
      </w:r>
      <w:proofErr w:type="gramEnd"/>
    </w:p>
    <w:p w14:paraId="6560378A" w14:textId="77777777" w:rsidR="00E33924" w:rsidRDefault="00E33924" w:rsidP="00E33924">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373F9089" w14:textId="77777777" w:rsidR="00E33924" w:rsidRPr="00E90860" w:rsidRDefault="00E33924" w:rsidP="00E33924">
      <w:pPr>
        <w:pStyle w:val="Doc-text2"/>
        <w:numPr>
          <w:ilvl w:val="0"/>
          <w:numId w:val="35"/>
        </w:numPr>
        <w:pBdr>
          <w:top w:val="single" w:sz="4" w:space="1" w:color="auto"/>
          <w:left w:val="single" w:sz="4" w:space="4" w:color="auto"/>
          <w:bottom w:val="single" w:sz="4" w:space="1" w:color="auto"/>
          <w:right w:val="single" w:sz="4" w:space="4" w:color="auto"/>
        </w:pBdr>
      </w:pPr>
      <w:r>
        <w:t>We don’t introduce multiple SMTCs in LTE</w:t>
      </w:r>
    </w:p>
    <w:p w14:paraId="2F43D64F" w14:textId="77777777" w:rsidR="00E33924" w:rsidRDefault="00E33924" w:rsidP="00BC4C81">
      <w:pPr>
        <w:pStyle w:val="B1"/>
        <w:ind w:left="0" w:firstLine="0"/>
      </w:pPr>
    </w:p>
    <w:p w14:paraId="52317F18" w14:textId="62583195" w:rsidR="007064FB" w:rsidRDefault="00661AB9" w:rsidP="00BC4C81">
      <w:pPr>
        <w:pStyle w:val="B1"/>
        <w:ind w:left="0" w:firstLine="0"/>
      </w:pPr>
      <w:r w:rsidRPr="0069AEF5">
        <w:t xml:space="preserve">In this document, we discuss the </w:t>
      </w:r>
      <w:r w:rsidR="00332E7C" w:rsidRPr="0069AEF5">
        <w:t>scope clarification</w:t>
      </w:r>
      <w:r w:rsidR="00BD1CDB" w:rsidRPr="0069AEF5">
        <w:t xml:space="preserve"> and possible </w:t>
      </w:r>
      <w:proofErr w:type="spellStart"/>
      <w:r w:rsidR="00BD1CDB" w:rsidRPr="0069AEF5">
        <w:t>signaling</w:t>
      </w:r>
      <w:proofErr w:type="spellEnd"/>
      <w:r w:rsidR="00BD1CDB" w:rsidRPr="0069AEF5">
        <w:t xml:space="preserve"> options.</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632142F7" w14:textId="06839DBC" w:rsidR="00CC3A64" w:rsidRPr="000335A2" w:rsidRDefault="003D22C6" w:rsidP="00165863">
      <w:pPr>
        <w:rPr>
          <w:b/>
          <w:bCs/>
          <w:u w:val="single"/>
        </w:rPr>
      </w:pPr>
      <w:r w:rsidRPr="000335A2">
        <w:rPr>
          <w:b/>
          <w:bCs/>
          <w:u w:val="single"/>
        </w:rPr>
        <w:t>EUTRA UE categories</w:t>
      </w:r>
    </w:p>
    <w:p w14:paraId="6F03027A" w14:textId="15EC361F" w:rsidR="000D4082" w:rsidRDefault="000D4082" w:rsidP="000D4082">
      <w:r>
        <w:t xml:space="preserve">As per WID objective an EUTRA terrestrial network cell is supposed to broadcast the satellite information, carrier frequency etc. which provide the NR NTN coverage in the UE’s service area. Then when a </w:t>
      </w:r>
      <w:r w:rsidR="00FF2AE8">
        <w:t xml:space="preserve">EUTRA </w:t>
      </w:r>
      <w:r>
        <w:t>UE is out of TN coverage, it can use the information to find the NR NTN cell given the UE is NR capable.</w:t>
      </w:r>
      <w:r w:rsidR="00FF2AE8">
        <w:t xml:space="preserve"> For NR UE, it is already possible as NR TN can broadcast SIB19.</w:t>
      </w:r>
    </w:p>
    <w:p w14:paraId="35A04B77" w14:textId="3B2BC586" w:rsidR="006525B9" w:rsidRDefault="003D22C6" w:rsidP="00165863">
      <w:r>
        <w:t>Currently</w:t>
      </w:r>
      <w:r w:rsidR="001348AC">
        <w:t xml:space="preserve"> the non-Cat M UEs (i.e., UE in CE) which has capability to operate in coverage enhancement mode can also support IoT NTN</w:t>
      </w:r>
      <w:r w:rsidR="0054064B">
        <w:t xml:space="preserve"> access</w:t>
      </w:r>
      <w:r w:rsidR="001348AC">
        <w:t>. These UEs are fully LTE capable UE and may also be capable of supporting NR.</w:t>
      </w:r>
      <w:r w:rsidR="00903BE4">
        <w:t xml:space="preserve"> </w:t>
      </w:r>
    </w:p>
    <w:p w14:paraId="79174900" w14:textId="31720ED2" w:rsidR="005E0B20" w:rsidRDefault="006525B9" w:rsidP="00165863">
      <w:r>
        <w:t>Similarly</w:t>
      </w:r>
      <w:r w:rsidR="00260FAC">
        <w:t>,</w:t>
      </w:r>
      <w:r>
        <w:t xml:space="preserve"> there can </w:t>
      </w:r>
      <w:r w:rsidR="33F31266">
        <w:t xml:space="preserve">be </w:t>
      </w:r>
      <w:r>
        <w:t>dual mode UEs such as supporting NB-IoT mode and NR mode. When camping on NB-IoT mode, the UE may also obtain the</w:t>
      </w:r>
      <w:r w:rsidR="00D31168">
        <w:t xml:space="preserve"> assistance information</w:t>
      </w:r>
      <w:r w:rsidR="0B57725D">
        <w:t>.</w:t>
      </w:r>
      <w:r w:rsidR="00D31168">
        <w:t xml:space="preserve"> </w:t>
      </w:r>
      <w:r w:rsidR="1B1821FA">
        <w:t>W</w:t>
      </w:r>
      <w:r w:rsidR="00D31168">
        <w:t>hen</w:t>
      </w:r>
      <w:r w:rsidR="355DF634">
        <w:t xml:space="preserve"> it is</w:t>
      </w:r>
      <w:r w:rsidR="00D31168">
        <w:t xml:space="preserve"> in out of coverage and </w:t>
      </w:r>
      <w:r w:rsidR="461E714E">
        <w:t xml:space="preserve">may </w:t>
      </w:r>
      <w:r w:rsidR="00D31168">
        <w:t>decide to switch to NR mode</w:t>
      </w:r>
      <w:r w:rsidR="005E0B20">
        <w:t xml:space="preserve"> using the stored assistance information.</w:t>
      </w:r>
      <w:r w:rsidR="00663A25">
        <w:t xml:space="preserve"> </w:t>
      </w:r>
      <w:r w:rsidR="003A5879">
        <w:t>T</w:t>
      </w:r>
      <w:r w:rsidR="00663A25">
        <w:t xml:space="preserve">he NB-IoT RAT can also provide NR NTN assistance information </w:t>
      </w:r>
      <w:proofErr w:type="gramStart"/>
      <w:r w:rsidR="00987692">
        <w:t>similar to</w:t>
      </w:r>
      <w:proofErr w:type="gramEnd"/>
      <w:r w:rsidR="00BE0A04">
        <w:t xml:space="preserve"> </w:t>
      </w:r>
      <w:r w:rsidR="00663A25">
        <w:t xml:space="preserve">inter-RAT assistance information currently </w:t>
      </w:r>
      <w:r w:rsidR="0B86C4D4">
        <w:t xml:space="preserve">the NB-IoT RAT cell </w:t>
      </w:r>
      <w:r w:rsidR="00663A25">
        <w:t>broadcast</w:t>
      </w:r>
      <w:r w:rsidR="124DCBBB">
        <w:t>s</w:t>
      </w:r>
      <w:r w:rsidR="00663A25">
        <w:t xml:space="preserve"> in </w:t>
      </w:r>
      <w:r w:rsidR="00BE0A04" w:rsidRPr="5F28F256">
        <w:rPr>
          <w:i/>
          <w:iCs/>
        </w:rPr>
        <w:t>SystemInformationBlockType27-NB</w:t>
      </w:r>
      <w:r w:rsidR="00BE0A04">
        <w:t>.</w:t>
      </w:r>
      <w:r w:rsidR="00FC4092">
        <w:t xml:space="preserve"> The only missing SIB for NB-IoT is </w:t>
      </w:r>
      <w:r w:rsidR="007C0667" w:rsidRPr="007C0667">
        <w:rPr>
          <w:i/>
          <w:iCs/>
        </w:rPr>
        <w:t>SystemInformationBlockType24</w:t>
      </w:r>
      <w:r w:rsidR="00B87B94">
        <w:t xml:space="preserve">, we just need to </w:t>
      </w:r>
      <w:r w:rsidR="007C0667">
        <w:t>import</w:t>
      </w:r>
      <w:r w:rsidR="00B87B94">
        <w:t xml:space="preserve"> </w:t>
      </w:r>
      <w:r w:rsidR="007C0667" w:rsidRPr="007C0667">
        <w:rPr>
          <w:i/>
          <w:iCs/>
        </w:rPr>
        <w:t>SystemInformationBlockType24</w:t>
      </w:r>
      <w:r w:rsidR="00B87B94" w:rsidRPr="007C0667">
        <w:rPr>
          <w:i/>
          <w:iCs/>
        </w:rPr>
        <w:t>-NB</w:t>
      </w:r>
      <w:r w:rsidR="00B87B94">
        <w:t xml:space="preserve"> </w:t>
      </w:r>
      <w:r w:rsidR="007C0667">
        <w:t xml:space="preserve">in NB-IoT </w:t>
      </w:r>
      <w:proofErr w:type="spellStart"/>
      <w:r w:rsidR="007C0667">
        <w:t>signaling</w:t>
      </w:r>
      <w:proofErr w:type="spellEnd"/>
      <w:r w:rsidR="007C0667">
        <w:t xml:space="preserve"> </w:t>
      </w:r>
      <w:r w:rsidR="00B87B94">
        <w:t>and add satellite ID for each NR frequency.</w:t>
      </w:r>
    </w:p>
    <w:p w14:paraId="1477BADA" w14:textId="07C1E9BA" w:rsidR="000F0130" w:rsidRDefault="000F0130" w:rsidP="00165863">
      <w:r>
        <w:t xml:space="preserve">In case of </w:t>
      </w:r>
      <w:proofErr w:type="spellStart"/>
      <w:r>
        <w:t>eMTC</w:t>
      </w:r>
      <w:proofErr w:type="spellEnd"/>
      <w:r>
        <w:t xml:space="preserve">, whatever enhancement is done in SIBs for normal </w:t>
      </w:r>
      <w:r w:rsidR="00BD464C">
        <w:t xml:space="preserve">EUTRA </w:t>
      </w:r>
      <w:r w:rsidR="00393282">
        <w:t xml:space="preserve">UEs will be applicable to </w:t>
      </w:r>
      <w:proofErr w:type="spellStart"/>
      <w:r w:rsidR="00393282">
        <w:t>eMTC</w:t>
      </w:r>
      <w:proofErr w:type="spellEnd"/>
      <w:r w:rsidR="00393282">
        <w:t xml:space="preserve"> as normal EUTRA UE and </w:t>
      </w:r>
      <w:proofErr w:type="spellStart"/>
      <w:r w:rsidR="00393282">
        <w:t>eMTC</w:t>
      </w:r>
      <w:proofErr w:type="spellEnd"/>
      <w:r w:rsidR="00393282">
        <w:t xml:space="preserve"> UE share the same SIB</w:t>
      </w:r>
      <w:r w:rsidR="00F56097">
        <w:t>s</w:t>
      </w:r>
      <w:r w:rsidR="00393282">
        <w:t xml:space="preserve"> </w:t>
      </w:r>
      <w:proofErr w:type="spellStart"/>
      <w:r w:rsidR="00393282">
        <w:t>signaling</w:t>
      </w:r>
      <w:proofErr w:type="spellEnd"/>
      <w:r w:rsidR="00F56097">
        <w:t xml:space="preserve"> mechanism.</w:t>
      </w:r>
    </w:p>
    <w:p w14:paraId="26B26C29" w14:textId="58A46498" w:rsidR="00037B03" w:rsidRDefault="005E0B20" w:rsidP="00165863">
      <w:r>
        <w:t xml:space="preserve">Since the scope of objective is for IDLE mode mobility, </w:t>
      </w:r>
      <w:r w:rsidR="000F0130">
        <w:t xml:space="preserve">we think the </w:t>
      </w:r>
      <w:proofErr w:type="spellStart"/>
      <w:r w:rsidR="000F0130">
        <w:t>eMTC</w:t>
      </w:r>
      <w:proofErr w:type="spellEnd"/>
      <w:r w:rsidR="000F0130">
        <w:t xml:space="preserve"> and NB-IoT can be scope</w:t>
      </w:r>
      <w:r w:rsidR="006630B5">
        <w:t xml:space="preserve"> without much additional specific effort</w:t>
      </w:r>
      <w:r w:rsidR="00037B03">
        <w:t>.</w:t>
      </w:r>
    </w:p>
    <w:p w14:paraId="77CF6968" w14:textId="184DDDFF" w:rsidR="003D22C6" w:rsidRDefault="00CF43D8" w:rsidP="000335A2">
      <w:pPr>
        <w:pStyle w:val="Proposal"/>
        <w:numPr>
          <w:ilvl w:val="0"/>
          <w:numId w:val="7"/>
        </w:numPr>
        <w:overflowPunct w:val="0"/>
        <w:autoSpaceDE w:val="0"/>
        <w:autoSpaceDN w:val="0"/>
        <w:adjustRightInd w:val="0"/>
        <w:spacing w:before="240" w:after="240" w:line="360" w:lineRule="auto"/>
        <w:contextualSpacing/>
        <w:textAlignment w:val="baseline"/>
      </w:pPr>
      <w:r>
        <w:t xml:space="preserve"> </w:t>
      </w:r>
      <w:bookmarkStart w:id="0" w:name="_Toc162695837"/>
      <w:bookmarkStart w:id="1" w:name="_Toc162695941"/>
      <w:bookmarkStart w:id="2" w:name="_Toc163143771"/>
      <w:bookmarkStart w:id="3" w:name="_Toc163145243"/>
      <w:bookmarkStart w:id="4" w:name="_Toc163145277"/>
      <w:bookmarkStart w:id="5" w:name="_Toc166061895"/>
      <w:bookmarkStart w:id="6" w:name="_Toc166062373"/>
      <w:bookmarkStart w:id="7" w:name="_Toc166164456"/>
      <w:bookmarkStart w:id="8" w:name="_Toc166172518"/>
      <w:bookmarkStart w:id="9" w:name="_Toc166172523"/>
      <w:proofErr w:type="spellStart"/>
      <w:r w:rsidR="000335A2">
        <w:t>eMTC</w:t>
      </w:r>
      <w:proofErr w:type="spellEnd"/>
      <w:r w:rsidR="000335A2">
        <w:t xml:space="preserve"> UE and NB-IoT UE </w:t>
      </w:r>
      <w:r w:rsidR="00E511A9">
        <w:t xml:space="preserve">can also </w:t>
      </w:r>
      <w:proofErr w:type="gramStart"/>
      <w:r w:rsidR="00E511A9">
        <w:t>be considered to be</w:t>
      </w:r>
      <w:proofErr w:type="gramEnd"/>
      <w:r w:rsidR="000335A2">
        <w:t xml:space="preserve"> in scope.</w:t>
      </w:r>
      <w:bookmarkEnd w:id="0"/>
      <w:bookmarkEnd w:id="1"/>
      <w:bookmarkEnd w:id="2"/>
      <w:bookmarkEnd w:id="3"/>
      <w:bookmarkEnd w:id="4"/>
      <w:bookmarkEnd w:id="5"/>
      <w:bookmarkEnd w:id="6"/>
      <w:bookmarkEnd w:id="7"/>
      <w:bookmarkEnd w:id="8"/>
      <w:bookmarkEnd w:id="9"/>
    </w:p>
    <w:p w14:paraId="1CB97D7A" w14:textId="301D0C18" w:rsidR="00BF711E" w:rsidRPr="004303BC" w:rsidRDefault="0071466D" w:rsidP="003A75B4">
      <w:pPr>
        <w:rPr>
          <w:b/>
          <w:bCs/>
          <w:u w:val="single"/>
        </w:rPr>
      </w:pPr>
      <w:r w:rsidRPr="004303BC">
        <w:rPr>
          <w:b/>
          <w:bCs/>
          <w:u w:val="single"/>
        </w:rPr>
        <w:t>ATG UE</w:t>
      </w:r>
    </w:p>
    <w:p w14:paraId="0CAC8165" w14:textId="687AA43B" w:rsidR="0071466D" w:rsidRDefault="00B06905" w:rsidP="003A75B4">
      <w:r>
        <w:t xml:space="preserve">Within NR NTN, </w:t>
      </w:r>
      <w:r w:rsidR="00E137D1">
        <w:t xml:space="preserve">support of </w:t>
      </w:r>
      <w:r>
        <w:t>ATG access is implicitly</w:t>
      </w:r>
      <w:r w:rsidR="00DB3CC8">
        <w:t xml:space="preserve"> understood</w:t>
      </w:r>
      <w:r w:rsidR="00AC04A9">
        <w:t xml:space="preserve"> as compatible</w:t>
      </w:r>
      <w:r w:rsidR="00DB3CC8">
        <w:t>, as shown below in WID [1].</w:t>
      </w:r>
    </w:p>
    <w:p w14:paraId="3C18D437" w14:textId="77777777" w:rsidR="00AC04A9" w:rsidRDefault="00AC04A9" w:rsidP="00AC04A9">
      <w:pPr>
        <w:pStyle w:val="Heading3"/>
        <w:ind w:left="1440"/>
        <w:rPr>
          <w:color w:val="0000FF"/>
        </w:rPr>
      </w:pPr>
      <w:r>
        <w:rPr>
          <w:color w:val="0000FF"/>
        </w:rPr>
        <w:t>4.1</w:t>
      </w:r>
      <w:r>
        <w:rPr>
          <w:color w:val="0000FF"/>
        </w:rPr>
        <w:tab/>
        <w:t>Objective of SI or Core part WI or Testing part WI</w:t>
      </w:r>
    </w:p>
    <w:p w14:paraId="1F921BE6" w14:textId="77777777" w:rsidR="00AC04A9" w:rsidRDefault="00AC04A9" w:rsidP="00AC04A9">
      <w:pPr>
        <w:spacing w:after="0" w:line="276" w:lineRule="auto"/>
        <w:ind w:left="1440"/>
        <w:rPr>
          <w:bCs/>
        </w:rPr>
      </w:pPr>
      <w:r>
        <w:rPr>
          <w:bCs/>
        </w:rPr>
        <w:t xml:space="preserve">The work item aims at specifying </w:t>
      </w:r>
      <w:r>
        <w:t>IDLE mode mobility from E-UTRA TN to NR NTN</w:t>
      </w:r>
      <w:r>
        <w:rPr>
          <w:bCs/>
        </w:rPr>
        <w:t xml:space="preserve"> with the following assumptions:</w:t>
      </w:r>
    </w:p>
    <w:p w14:paraId="4344F8D5"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 xml:space="preserve">GSO (Geo Synchronous Orbit) and NGSO (Non-Geo Synchronous Orbit). </w:t>
      </w:r>
    </w:p>
    <w:p w14:paraId="480AD8A6" w14:textId="77777777" w:rsidR="00AC04A9" w:rsidRDefault="00AC04A9" w:rsidP="00AC04A9">
      <w:pPr>
        <w:numPr>
          <w:ilvl w:val="1"/>
          <w:numId w:val="32"/>
        </w:numPr>
        <w:overflowPunct w:val="0"/>
        <w:autoSpaceDE w:val="0"/>
        <w:autoSpaceDN w:val="0"/>
        <w:adjustRightInd w:val="0"/>
        <w:spacing w:after="0" w:line="276" w:lineRule="auto"/>
        <w:ind w:left="2880"/>
        <w:textAlignment w:val="baseline"/>
        <w:rPr>
          <w:bCs/>
        </w:rPr>
      </w:pPr>
      <w:r>
        <w:rPr>
          <w:bCs/>
        </w:rPr>
        <w:lastRenderedPageBreak/>
        <w:t>NGSO includes Low Earth Orbit (LEO) and Medium Earth Orbit (MEO).</w:t>
      </w:r>
    </w:p>
    <w:p w14:paraId="632626E7"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 xml:space="preserve">Earth fixed tracking area. Quasi-Earth fixed &amp; Earth moving cells for </w:t>
      </w:r>
      <w:proofErr w:type="gramStart"/>
      <w:r>
        <w:rPr>
          <w:bCs/>
        </w:rPr>
        <w:t>NGSO</w:t>
      </w:r>
      <w:proofErr w:type="gramEnd"/>
    </w:p>
    <w:p w14:paraId="49AF5A83"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UEs with GNSS (Global Navigation Satellite Systems) capability</w:t>
      </w:r>
    </w:p>
    <w:p w14:paraId="67303153"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FDD mode for NR-NTN</w:t>
      </w:r>
    </w:p>
    <w:p w14:paraId="3EE11FE9"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 xml:space="preserve">NTN-FR1 band is considered in </w:t>
      </w:r>
      <w:proofErr w:type="gramStart"/>
      <w:r>
        <w:rPr>
          <w:bCs/>
        </w:rPr>
        <w:t>priority</w:t>
      </w:r>
      <w:proofErr w:type="gramEnd"/>
    </w:p>
    <w:p w14:paraId="5D91F08E" w14:textId="77777777" w:rsidR="00AC04A9" w:rsidRPr="00AC04A9" w:rsidRDefault="00AC04A9" w:rsidP="00AC04A9">
      <w:pPr>
        <w:numPr>
          <w:ilvl w:val="0"/>
          <w:numId w:val="32"/>
        </w:numPr>
        <w:overflowPunct w:val="0"/>
        <w:autoSpaceDE w:val="0"/>
        <w:autoSpaceDN w:val="0"/>
        <w:adjustRightInd w:val="0"/>
        <w:spacing w:after="0" w:line="276" w:lineRule="auto"/>
        <w:ind w:left="2160"/>
        <w:textAlignment w:val="baseline"/>
        <w:rPr>
          <w:bCs/>
          <w:highlight w:val="yellow"/>
        </w:rPr>
      </w:pPr>
      <w:r w:rsidRPr="00AC04A9">
        <w:rPr>
          <w:bCs/>
          <w:highlight w:val="yellow"/>
        </w:rPr>
        <w:t xml:space="preserve">Implicit compatibility to support HAPS (High Altitude Platform Station) and ATG (Air </w:t>
      </w:r>
      <w:proofErr w:type="gramStart"/>
      <w:r w:rsidRPr="00AC04A9">
        <w:rPr>
          <w:bCs/>
          <w:highlight w:val="yellow"/>
        </w:rPr>
        <w:t>To</w:t>
      </w:r>
      <w:proofErr w:type="gramEnd"/>
      <w:r w:rsidRPr="00AC04A9">
        <w:rPr>
          <w:bCs/>
          <w:highlight w:val="yellow"/>
        </w:rPr>
        <w:t xml:space="preserve"> Ground) scenarios, where relevant</w:t>
      </w:r>
    </w:p>
    <w:p w14:paraId="4739E30F" w14:textId="77777777" w:rsidR="00DB3CC8" w:rsidRDefault="00DB3CC8" w:rsidP="003A75B4"/>
    <w:p w14:paraId="320C874D" w14:textId="77A535D5" w:rsidR="00DB3CC8" w:rsidRDefault="00E137D1" w:rsidP="003A75B4">
      <w:r>
        <w:t>However, in our understanding, there may not be</w:t>
      </w:r>
      <w:r w:rsidR="00A2730F">
        <w:t xml:space="preserve"> use case where an ATG UE is first camped on LTE network and need to switch to</w:t>
      </w:r>
      <w:r w:rsidR="00E90FEE">
        <w:t xml:space="preserve"> NR NTN. If there is LTE network or TN network available, the users of ATG</w:t>
      </w:r>
      <w:r w:rsidR="00386F94">
        <w:t xml:space="preserve"> itself will be using TN network</w:t>
      </w:r>
      <w:r w:rsidR="00A95A69">
        <w:t>. Therefore, provid</w:t>
      </w:r>
      <w:r w:rsidR="00301A01">
        <w:t>ing</w:t>
      </w:r>
      <w:r w:rsidR="00A95A69">
        <w:t xml:space="preserve"> ATG specific SIB, i.e., SIB22</w:t>
      </w:r>
      <w:r w:rsidR="00301A01">
        <w:t xml:space="preserve"> </w:t>
      </w:r>
      <w:r w:rsidR="00A501DA">
        <w:t>is not necessary</w:t>
      </w:r>
      <w:r w:rsidR="00301A01">
        <w:t>.</w:t>
      </w:r>
    </w:p>
    <w:p w14:paraId="7A2084A4" w14:textId="33B9FD4B" w:rsidR="00B00EB1" w:rsidRDefault="004303BC" w:rsidP="004303BC">
      <w:pPr>
        <w:pStyle w:val="Proposal"/>
        <w:numPr>
          <w:ilvl w:val="0"/>
          <w:numId w:val="7"/>
        </w:numPr>
        <w:overflowPunct w:val="0"/>
        <w:autoSpaceDE w:val="0"/>
        <w:autoSpaceDN w:val="0"/>
        <w:adjustRightInd w:val="0"/>
        <w:spacing w:before="240" w:after="240" w:line="360" w:lineRule="auto"/>
        <w:contextualSpacing/>
        <w:textAlignment w:val="baseline"/>
      </w:pPr>
      <w:bookmarkStart w:id="10" w:name="_Toc162695838"/>
      <w:bookmarkStart w:id="11" w:name="_Toc162695942"/>
      <w:bookmarkStart w:id="12" w:name="_Toc163143772"/>
      <w:bookmarkStart w:id="13" w:name="_Toc163145244"/>
      <w:bookmarkStart w:id="14" w:name="_Toc163145278"/>
      <w:bookmarkStart w:id="15" w:name="_Toc166061896"/>
      <w:bookmarkStart w:id="16" w:name="_Toc166062374"/>
      <w:bookmarkStart w:id="17" w:name="_Toc166164457"/>
      <w:bookmarkStart w:id="18" w:name="_Toc166172519"/>
      <w:bookmarkStart w:id="19" w:name="_Toc166172524"/>
      <w:r w:rsidRPr="004303BC">
        <w:t>Confirm that LTE to ATG NR cell mobility</w:t>
      </w:r>
      <w:r w:rsidR="004F08DF">
        <w:t>, i.e., broadcasting information of SIB22</w:t>
      </w:r>
      <w:r w:rsidRPr="004303BC">
        <w:t xml:space="preserve"> is not in scope.</w:t>
      </w:r>
      <w:bookmarkEnd w:id="10"/>
      <w:bookmarkEnd w:id="11"/>
      <w:bookmarkEnd w:id="12"/>
      <w:bookmarkEnd w:id="13"/>
      <w:bookmarkEnd w:id="14"/>
      <w:bookmarkEnd w:id="15"/>
      <w:bookmarkEnd w:id="16"/>
      <w:bookmarkEnd w:id="17"/>
      <w:bookmarkEnd w:id="18"/>
      <w:bookmarkEnd w:id="19"/>
    </w:p>
    <w:p w14:paraId="6A2A59F2" w14:textId="19A3B347" w:rsidR="004303BC" w:rsidRPr="000F2CA0" w:rsidRDefault="003A5879" w:rsidP="003A75B4">
      <w:pPr>
        <w:rPr>
          <w:b/>
          <w:bCs/>
          <w:u w:val="single"/>
        </w:rPr>
      </w:pPr>
      <w:proofErr w:type="spellStart"/>
      <w:r w:rsidRPr="000F2CA0">
        <w:rPr>
          <w:b/>
          <w:bCs/>
          <w:u w:val="single"/>
        </w:rPr>
        <w:t>Signaling</w:t>
      </w:r>
      <w:proofErr w:type="spellEnd"/>
      <w:r w:rsidRPr="000F2CA0">
        <w:rPr>
          <w:b/>
          <w:bCs/>
          <w:u w:val="single"/>
        </w:rPr>
        <w:t xml:space="preserve"> options</w:t>
      </w:r>
    </w:p>
    <w:p w14:paraId="7432C2D6" w14:textId="6B75AB56" w:rsidR="003A5879" w:rsidRDefault="003A5879" w:rsidP="003A75B4">
      <w:r>
        <w:t xml:space="preserve">The </w:t>
      </w:r>
      <w:proofErr w:type="spellStart"/>
      <w:r>
        <w:t>neighbor</w:t>
      </w:r>
      <w:proofErr w:type="spellEnd"/>
      <w:r>
        <w:t xml:space="preserve"> satellite information</w:t>
      </w:r>
      <w:r w:rsidR="005A38FE">
        <w:t xml:space="preserve"> should include at least ephemeris, epoch time, common TA </w:t>
      </w:r>
      <w:r w:rsidR="00E25D1C">
        <w:t xml:space="preserve">parameters, </w:t>
      </w:r>
      <w:proofErr w:type="spellStart"/>
      <w:r w:rsidR="00E25D1C">
        <w:t>Kmac</w:t>
      </w:r>
      <w:proofErr w:type="spellEnd"/>
      <w:r w:rsidR="00E25D1C">
        <w:t>. The reference point for the epoch time should be</w:t>
      </w:r>
      <w:r w:rsidR="00030588">
        <w:t xml:space="preserve"> provided in serving cell’s </w:t>
      </w:r>
      <w:r w:rsidR="000F2CA0">
        <w:t xml:space="preserve">downlink </w:t>
      </w:r>
      <w:r w:rsidR="00030588">
        <w:t>timing</w:t>
      </w:r>
      <w:r w:rsidR="000F2CA0">
        <w:t>. The list</w:t>
      </w:r>
      <w:r w:rsidR="00BE5BE6">
        <w:t xml:space="preserve"> </w:t>
      </w:r>
      <w:r w:rsidR="00952564">
        <w:t xml:space="preserve">of </w:t>
      </w:r>
      <w:r w:rsidR="00BE5BE6">
        <w:t>NR</w:t>
      </w:r>
      <w:r w:rsidR="000F2CA0">
        <w:t xml:space="preserve"> frequencies for each satellite should also be provided and optionally the PCI information can also be provided.</w:t>
      </w:r>
      <w:r w:rsidR="00BE5BE6">
        <w:t xml:space="preserve"> These are provided as </w:t>
      </w:r>
      <w:proofErr w:type="spellStart"/>
      <w:r w:rsidR="00BE5BE6">
        <w:t>neighbor</w:t>
      </w:r>
      <w:proofErr w:type="spellEnd"/>
      <w:r w:rsidR="00BE5BE6">
        <w:t xml:space="preserve"> cell information in SIB19 in NR NTN and NR TN.</w:t>
      </w:r>
    </w:p>
    <w:p w14:paraId="1A3818F3" w14:textId="71C92AFB" w:rsidR="006E2672" w:rsidRDefault="00B136B9" w:rsidP="003A75B4">
      <w:r>
        <w:t>EUTRA SIB33</w:t>
      </w:r>
      <w:r w:rsidR="007C34E4">
        <w:t xml:space="preserve"> includes </w:t>
      </w:r>
      <w:proofErr w:type="spellStart"/>
      <w:r w:rsidR="007C34E4">
        <w:t>neighbor</w:t>
      </w:r>
      <w:proofErr w:type="spellEnd"/>
      <w:r w:rsidR="007C34E4">
        <w:t xml:space="preserve"> satellite information</w:t>
      </w:r>
      <w:r w:rsidR="00067A4C">
        <w:t xml:space="preserve"> but it is</w:t>
      </w:r>
      <w:r w:rsidR="007C34E4">
        <w:t xml:space="preserve"> for </w:t>
      </w:r>
      <w:r w:rsidR="00593443">
        <w:t>intra</w:t>
      </w:r>
      <w:r w:rsidR="0033665C">
        <w:t xml:space="preserve">-frequency or inter-frequency </w:t>
      </w:r>
      <w:proofErr w:type="spellStart"/>
      <w:r w:rsidR="0033665C">
        <w:t>neighbor</w:t>
      </w:r>
      <w:proofErr w:type="spellEnd"/>
      <w:r w:rsidR="0033665C">
        <w:t xml:space="preserve"> cells</w:t>
      </w:r>
      <w:r w:rsidR="009C20E0">
        <w:t xml:space="preserve">. </w:t>
      </w:r>
      <w:r w:rsidR="008675B9">
        <w:t>The SIB</w:t>
      </w:r>
      <w:r w:rsidR="008675B9" w:rsidRPr="008675B9">
        <w:t>24 contains information relevant for inter-RAT cell re-selection (i.e. information about NR frequencies and NR neighbouring cells relevant for cell re-selection)</w:t>
      </w:r>
      <w:r w:rsidR="008675B9">
        <w:t xml:space="preserve"> and this can be extended</w:t>
      </w:r>
      <w:r w:rsidR="009949E3">
        <w:t xml:space="preserve"> to include NR NTN-Config information.</w:t>
      </w:r>
      <w:r w:rsidR="00BF751C">
        <w:t xml:space="preserve"> However, for each RAT type, a separate SIB has been introduced, for example, </w:t>
      </w:r>
      <w:r w:rsidR="005273C3">
        <w:t xml:space="preserve">SIB27 for NB-IoT, SIB24 for TN NR, </w:t>
      </w:r>
      <w:r w:rsidR="00D72E73">
        <w:t xml:space="preserve">SIB7 for GERAN and SIB6 for UTRA. </w:t>
      </w:r>
    </w:p>
    <w:p w14:paraId="2CDE1776" w14:textId="3A82859E" w:rsidR="005F5277" w:rsidRDefault="005F5277" w:rsidP="003A75B4">
      <w:r>
        <w:t xml:space="preserve">We think for providing NR frequency information, same SIB24 can be used. Same SIB24-NB can also be </w:t>
      </w:r>
      <w:proofErr w:type="spellStart"/>
      <w:r>
        <w:t>signaled</w:t>
      </w:r>
      <w:proofErr w:type="spellEnd"/>
      <w:r>
        <w:t xml:space="preserve"> in NB-IoT case. If the frequency belongs to satellite (or NTN), the satellite ID can be provided to each NR frequency in the list and a simple non-critical extension in SIB24 can be used for this purpose.</w:t>
      </w:r>
    </w:p>
    <w:p w14:paraId="36B02E5D" w14:textId="5720814E" w:rsidR="005F5277" w:rsidRDefault="005F5277" w:rsidP="003A75B4">
      <w:r>
        <w:t>However, we prefer not to impact the SIB33 as it is currently used by EUTRA TN to provide EUTRA satellite information.</w:t>
      </w:r>
    </w:p>
    <w:p w14:paraId="2B7FDD15" w14:textId="2EDF5276" w:rsidR="00D72E73" w:rsidRDefault="000C1368" w:rsidP="00D72E73">
      <w:pPr>
        <w:pStyle w:val="Proposal"/>
        <w:numPr>
          <w:ilvl w:val="0"/>
          <w:numId w:val="7"/>
        </w:numPr>
        <w:overflowPunct w:val="0"/>
        <w:autoSpaceDE w:val="0"/>
        <w:autoSpaceDN w:val="0"/>
        <w:adjustRightInd w:val="0"/>
        <w:spacing w:before="240" w:after="240" w:line="360" w:lineRule="auto"/>
        <w:contextualSpacing/>
        <w:textAlignment w:val="baseline"/>
      </w:pPr>
      <w:bookmarkStart w:id="20" w:name="_Toc162695839"/>
      <w:bookmarkStart w:id="21" w:name="_Toc162695943"/>
      <w:bookmarkStart w:id="22" w:name="_Toc163143773"/>
      <w:bookmarkStart w:id="23" w:name="_Toc163145245"/>
      <w:bookmarkStart w:id="24" w:name="_Toc163145279"/>
      <w:bookmarkStart w:id="25" w:name="_Toc166061897"/>
      <w:bookmarkStart w:id="26" w:name="_Toc166062375"/>
      <w:bookmarkStart w:id="27" w:name="_Toc166164458"/>
      <w:bookmarkStart w:id="28" w:name="_Toc166172520"/>
      <w:bookmarkStart w:id="29" w:name="_Toc166172525"/>
      <w:r>
        <w:t>Introduce satellite ID in SIB24 to indicate the NR frequency is associated with the satellite frequency</w:t>
      </w:r>
      <w:r w:rsidR="00D72E73">
        <w:t>.</w:t>
      </w:r>
      <w:bookmarkEnd w:id="20"/>
      <w:bookmarkEnd w:id="21"/>
      <w:bookmarkEnd w:id="22"/>
      <w:bookmarkEnd w:id="23"/>
      <w:bookmarkEnd w:id="24"/>
      <w:bookmarkEnd w:id="25"/>
      <w:bookmarkEnd w:id="26"/>
      <w:bookmarkEnd w:id="27"/>
      <w:bookmarkEnd w:id="28"/>
      <w:bookmarkEnd w:id="29"/>
    </w:p>
    <w:p w14:paraId="57B58269" w14:textId="6C70C668" w:rsidR="000C1368" w:rsidRDefault="000C1368" w:rsidP="00D72E73">
      <w:pPr>
        <w:pStyle w:val="Proposal"/>
        <w:numPr>
          <w:ilvl w:val="0"/>
          <w:numId w:val="7"/>
        </w:numPr>
        <w:overflowPunct w:val="0"/>
        <w:autoSpaceDE w:val="0"/>
        <w:autoSpaceDN w:val="0"/>
        <w:adjustRightInd w:val="0"/>
        <w:spacing w:before="240" w:after="240" w:line="360" w:lineRule="auto"/>
        <w:contextualSpacing/>
        <w:textAlignment w:val="baseline"/>
      </w:pPr>
      <w:bookmarkStart w:id="30" w:name="_Toc166061898"/>
      <w:bookmarkStart w:id="31" w:name="_Toc166062376"/>
      <w:bookmarkStart w:id="32" w:name="_Toc166164459"/>
      <w:bookmarkStart w:id="33" w:name="_Toc166172521"/>
      <w:bookmarkStart w:id="34" w:name="_Toc166172526"/>
      <w:r>
        <w:t>Introduce a new SIB to broadcast NR NTN satellite information.</w:t>
      </w:r>
      <w:bookmarkEnd w:id="30"/>
      <w:bookmarkEnd w:id="31"/>
      <w:bookmarkEnd w:id="32"/>
      <w:bookmarkEnd w:id="33"/>
      <w:bookmarkEnd w:id="34"/>
    </w:p>
    <w:p w14:paraId="178533DD" w14:textId="27707F79" w:rsidR="00B432E4" w:rsidRPr="00981982" w:rsidRDefault="00B432E4" w:rsidP="00B432E4">
      <w:pPr>
        <w:rPr>
          <w:b/>
          <w:bCs/>
          <w:u w:val="single"/>
        </w:rPr>
      </w:pPr>
      <w:r w:rsidRPr="00981982">
        <w:rPr>
          <w:b/>
          <w:bCs/>
          <w:u w:val="single"/>
        </w:rPr>
        <w:t>Multiple SMTC</w:t>
      </w:r>
    </w:p>
    <w:p w14:paraId="50C8D7B1" w14:textId="54A7EC8C" w:rsidR="00B432E4" w:rsidRDefault="00B432E4" w:rsidP="00B432E4">
      <w:r>
        <w:t>RAN2 made following working assumption.</w:t>
      </w:r>
    </w:p>
    <w:p w14:paraId="0EDE1A8F" w14:textId="3400E679" w:rsidR="00E97FF6" w:rsidRPr="00E97FF6" w:rsidRDefault="00E97FF6" w:rsidP="00E97FF6">
      <w:pPr>
        <w:pStyle w:val="ListParagraph"/>
        <w:numPr>
          <w:ilvl w:val="0"/>
          <w:numId w:val="36"/>
        </w:numPr>
        <w:rPr>
          <w:i/>
          <w:iCs/>
        </w:rPr>
      </w:pPr>
      <w:r w:rsidRPr="00E97FF6">
        <w:rPr>
          <w:i/>
          <w:iCs/>
        </w:rPr>
        <w:t>We don’t introduce multiple SMTCs in LTE</w:t>
      </w:r>
    </w:p>
    <w:p w14:paraId="01B8CC4C" w14:textId="5E3B3EF3" w:rsidR="00B432E4" w:rsidRDefault="005B334A" w:rsidP="00B432E4">
      <w:r>
        <w:t>In our view, there can be multiple satellites operating in the same carrier frequency.</w:t>
      </w:r>
      <w:r w:rsidR="000B51C6">
        <w:t xml:space="preserve"> For each satellite a different SMTC offset needs to be provided.</w:t>
      </w:r>
      <w:r w:rsidR="005C1FAB">
        <w:t xml:space="preserve"> Therefore, the working assumption can be confirmed by ensuring that multiple satellites associated with the same frequency can be provided with different SMTC offset</w:t>
      </w:r>
      <w:r w:rsidR="00AF026E">
        <w:t>s</w:t>
      </w:r>
      <w:r w:rsidR="005C1FAB">
        <w:t>.</w:t>
      </w:r>
    </w:p>
    <w:p w14:paraId="352FC9AB" w14:textId="26734EFF" w:rsidR="005C1FAB" w:rsidRDefault="005C1FAB" w:rsidP="005C1FAB">
      <w:pPr>
        <w:pStyle w:val="Proposal"/>
        <w:numPr>
          <w:ilvl w:val="0"/>
          <w:numId w:val="7"/>
        </w:numPr>
        <w:overflowPunct w:val="0"/>
        <w:autoSpaceDE w:val="0"/>
        <w:autoSpaceDN w:val="0"/>
        <w:adjustRightInd w:val="0"/>
        <w:spacing w:before="240" w:after="240" w:line="360" w:lineRule="auto"/>
        <w:contextualSpacing/>
        <w:textAlignment w:val="baseline"/>
      </w:pPr>
      <w:bookmarkStart w:id="35" w:name="_Toc166062377"/>
      <w:bookmarkStart w:id="36" w:name="_Toc166164460"/>
      <w:bookmarkStart w:id="37" w:name="_Toc166172522"/>
      <w:bookmarkStart w:id="38" w:name="_Toc166172527"/>
      <w:r>
        <w:t>Confirm that multiple satellites associated with the same frequency can have different SMTC offsets.</w:t>
      </w:r>
      <w:bookmarkEnd w:id="35"/>
      <w:bookmarkEnd w:id="36"/>
      <w:bookmarkEnd w:id="37"/>
      <w:bookmarkEnd w:id="38"/>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5B4144E0" w14:textId="77777777" w:rsidR="003A6C5B" w:rsidRDefault="00A81919">
      <w:pPr>
        <w:pStyle w:val="TOC1"/>
        <w:tabs>
          <w:tab w:val="left" w:pos="1320"/>
        </w:tabs>
        <w:rPr>
          <w:rFonts w:asciiTheme="minorHAnsi" w:eastAsiaTheme="minorEastAsia" w:hAnsiTheme="minorHAnsi" w:cstheme="minorBidi"/>
          <w:kern w:val="2"/>
          <w:szCs w:val="22"/>
          <w:lang w:val="en-US"/>
          <w14:ligatures w14:val="standardContextual"/>
        </w:rPr>
      </w:pPr>
      <w:r w:rsidRPr="005C1FAB">
        <w:lastRenderedPageBreak/>
        <w:fldChar w:fldCharType="begin"/>
      </w:r>
      <w:r>
        <w:instrText xml:space="preserve"> TOC \n \t "Proposal,1,Observation,1" </w:instrText>
      </w:r>
      <w:r w:rsidRPr="005C1FAB">
        <w:fldChar w:fldCharType="separate"/>
      </w:r>
      <w:r w:rsidR="003A6C5B">
        <w:t>Proposal 1</w:t>
      </w:r>
      <w:r w:rsidR="003A6C5B">
        <w:rPr>
          <w:rFonts w:asciiTheme="minorHAnsi" w:eastAsiaTheme="minorEastAsia" w:hAnsiTheme="minorHAnsi" w:cstheme="minorBidi"/>
          <w:kern w:val="2"/>
          <w:szCs w:val="22"/>
          <w:lang w:val="en-US"/>
          <w14:ligatures w14:val="standardContextual"/>
        </w:rPr>
        <w:tab/>
      </w:r>
      <w:r w:rsidR="003A6C5B">
        <w:t>eMTC UE and NB-IoT UE can also be considered to be in scope.</w:t>
      </w:r>
    </w:p>
    <w:p w14:paraId="71FC25E1" w14:textId="77777777" w:rsidR="003A6C5B" w:rsidRDefault="003A6C5B">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Confirm that LTE to ATG NR cell mobility, i.e., broadcasting information of SIB22 is not in scope.</w:t>
      </w:r>
    </w:p>
    <w:p w14:paraId="71462724" w14:textId="77777777" w:rsidR="003A6C5B" w:rsidRDefault="003A6C5B">
      <w:pPr>
        <w:pStyle w:val="TOC1"/>
        <w:tabs>
          <w:tab w:val="left" w:pos="1320"/>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Introduce satellite ID in SIB24 to indicate the NR frequency is associated with the satellite frequency.</w:t>
      </w:r>
    </w:p>
    <w:p w14:paraId="2B587A67" w14:textId="77777777" w:rsidR="003A6C5B" w:rsidRDefault="003A6C5B">
      <w:pPr>
        <w:pStyle w:val="TOC1"/>
        <w:tabs>
          <w:tab w:val="left" w:pos="1320"/>
        </w:tabs>
        <w:rPr>
          <w:rFonts w:asciiTheme="minorHAnsi" w:eastAsiaTheme="minorEastAsia" w:hAnsiTheme="minorHAnsi" w:cstheme="minorBidi"/>
          <w:kern w:val="2"/>
          <w:szCs w:val="22"/>
          <w:lang w:val="en-US"/>
          <w14:ligatures w14:val="standardContextual"/>
        </w:rPr>
      </w:pPr>
      <w:r>
        <w:t>Proposal 4</w:t>
      </w:r>
      <w:r>
        <w:rPr>
          <w:rFonts w:asciiTheme="minorHAnsi" w:eastAsiaTheme="minorEastAsia" w:hAnsiTheme="minorHAnsi" w:cstheme="minorBidi"/>
          <w:kern w:val="2"/>
          <w:szCs w:val="22"/>
          <w:lang w:val="en-US"/>
          <w14:ligatures w14:val="standardContextual"/>
        </w:rPr>
        <w:tab/>
      </w:r>
      <w:r>
        <w:t>Introduce a new SIB to broadcast NR NTN satellite information.</w:t>
      </w:r>
    </w:p>
    <w:p w14:paraId="7C5C91AA" w14:textId="77777777" w:rsidR="003A6C5B" w:rsidRDefault="003A6C5B">
      <w:pPr>
        <w:pStyle w:val="TOC1"/>
        <w:tabs>
          <w:tab w:val="left" w:pos="1320"/>
        </w:tabs>
        <w:rPr>
          <w:rFonts w:asciiTheme="minorHAnsi" w:eastAsiaTheme="minorEastAsia" w:hAnsiTheme="minorHAnsi" w:cstheme="minorBidi"/>
          <w:kern w:val="2"/>
          <w:szCs w:val="22"/>
          <w:lang w:val="en-US"/>
          <w14:ligatures w14:val="standardContextual"/>
        </w:rPr>
      </w:pPr>
      <w:r>
        <w:t>Proposal 5</w:t>
      </w:r>
      <w:r>
        <w:rPr>
          <w:rFonts w:asciiTheme="minorHAnsi" w:eastAsiaTheme="minorEastAsia" w:hAnsiTheme="minorHAnsi" w:cstheme="minorBidi"/>
          <w:kern w:val="2"/>
          <w:szCs w:val="22"/>
          <w:lang w:val="en-US"/>
          <w14:ligatures w14:val="standardContextual"/>
        </w:rPr>
        <w:tab/>
      </w:r>
      <w:r>
        <w:t>Confirm that multiple satellites associated with the same frequency can have different SMTC offsets.</w:t>
      </w:r>
    </w:p>
    <w:p w14:paraId="572A2F30" w14:textId="064D1535" w:rsidR="002531E6" w:rsidRDefault="00A81919" w:rsidP="005C1FAB">
      <w:r w:rsidRPr="005C1FAB">
        <w:rPr>
          <w:noProof/>
          <w:sz w:val="22"/>
        </w:rPr>
        <w:fldChar w:fldCharType="end"/>
      </w:r>
    </w:p>
    <w:sectPr w:rsidR="002531E6" w:rsidSect="00356D03">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D729" w14:textId="77777777" w:rsidR="00356D03" w:rsidRDefault="00356D03">
      <w:pPr>
        <w:spacing w:after="0"/>
      </w:pPr>
      <w:r>
        <w:separator/>
      </w:r>
    </w:p>
  </w:endnote>
  <w:endnote w:type="continuationSeparator" w:id="0">
    <w:p w14:paraId="1243A514" w14:textId="77777777" w:rsidR="00356D03" w:rsidRDefault="00356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33F38" w14:textId="77777777" w:rsidR="00356D03" w:rsidRDefault="00356D03">
      <w:pPr>
        <w:spacing w:after="0"/>
      </w:pPr>
      <w:r>
        <w:separator/>
      </w:r>
    </w:p>
  </w:footnote>
  <w:footnote w:type="continuationSeparator" w:id="0">
    <w:p w14:paraId="4428B26E" w14:textId="77777777" w:rsidR="00356D03" w:rsidRDefault="00356D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4440"/>
    <w:multiLevelType w:val="hybridMultilevel"/>
    <w:tmpl w:val="2C24A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7D536B"/>
    <w:multiLevelType w:val="hybridMultilevel"/>
    <w:tmpl w:val="5364B3CE"/>
    <w:lvl w:ilvl="0" w:tplc="E9108A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4225905">
    <w:abstractNumId w:val="3"/>
  </w:num>
  <w:num w:numId="2" w16cid:durableId="165562215">
    <w:abstractNumId w:val="23"/>
  </w:num>
  <w:num w:numId="3" w16cid:durableId="848328707">
    <w:abstractNumId w:val="2"/>
  </w:num>
  <w:num w:numId="4" w16cid:durableId="1457137946">
    <w:abstractNumId w:val="16"/>
  </w:num>
  <w:num w:numId="5" w16cid:durableId="1097747988">
    <w:abstractNumId w:val="23"/>
  </w:num>
  <w:num w:numId="6" w16cid:durableId="675621482">
    <w:abstractNumId w:val="12"/>
  </w:num>
  <w:num w:numId="7" w16cid:durableId="1304964842">
    <w:abstractNumId w:val="18"/>
  </w:num>
  <w:num w:numId="8" w16cid:durableId="125047382">
    <w:abstractNumId w:val="13"/>
  </w:num>
  <w:num w:numId="9" w16cid:durableId="269971381">
    <w:abstractNumId w:val="20"/>
  </w:num>
  <w:num w:numId="10" w16cid:durableId="1166480600">
    <w:abstractNumId w:val="8"/>
  </w:num>
  <w:num w:numId="11" w16cid:durableId="1899051820">
    <w:abstractNumId w:val="14"/>
  </w:num>
  <w:num w:numId="12" w16cid:durableId="1750300129">
    <w:abstractNumId w:val="17"/>
  </w:num>
  <w:num w:numId="13" w16cid:durableId="1246263475">
    <w:abstractNumId w:val="16"/>
  </w:num>
  <w:num w:numId="14" w16cid:durableId="1670326438">
    <w:abstractNumId w:val="16"/>
  </w:num>
  <w:num w:numId="15" w16cid:durableId="1185368059">
    <w:abstractNumId w:val="1"/>
  </w:num>
  <w:num w:numId="16" w16cid:durableId="680856319">
    <w:abstractNumId w:val="7"/>
  </w:num>
  <w:num w:numId="17" w16cid:durableId="1320383609">
    <w:abstractNumId w:val="6"/>
  </w:num>
  <w:num w:numId="18" w16cid:durableId="1506020440">
    <w:abstractNumId w:val="16"/>
  </w:num>
  <w:num w:numId="19" w16cid:durableId="1131437444">
    <w:abstractNumId w:val="19"/>
  </w:num>
  <w:num w:numId="20" w16cid:durableId="1554272510">
    <w:abstractNumId w:val="16"/>
  </w:num>
  <w:num w:numId="21" w16cid:durableId="2070877550">
    <w:abstractNumId w:val="21"/>
  </w:num>
  <w:num w:numId="22" w16cid:durableId="1726248054">
    <w:abstractNumId w:val="16"/>
  </w:num>
  <w:num w:numId="23" w16cid:durableId="611282159">
    <w:abstractNumId w:val="22"/>
  </w:num>
  <w:num w:numId="24" w16cid:durableId="1473984226">
    <w:abstractNumId w:val="9"/>
  </w:num>
  <w:num w:numId="25" w16cid:durableId="52776904">
    <w:abstractNumId w:val="16"/>
  </w:num>
  <w:num w:numId="26" w16cid:durableId="194077589">
    <w:abstractNumId w:val="16"/>
  </w:num>
  <w:num w:numId="27" w16cid:durableId="1611232355">
    <w:abstractNumId w:val="24"/>
  </w:num>
  <w:num w:numId="28" w16cid:durableId="1388188529">
    <w:abstractNumId w:val="15"/>
  </w:num>
  <w:num w:numId="29" w16cid:durableId="928536758">
    <w:abstractNumId w:val="0"/>
  </w:num>
  <w:num w:numId="30" w16cid:durableId="1653094925">
    <w:abstractNumId w:val="4"/>
  </w:num>
  <w:num w:numId="31" w16cid:durableId="140123655">
    <w:abstractNumId w:val="16"/>
  </w:num>
  <w:num w:numId="32" w16cid:durableId="88475345">
    <w:abstractNumId w:val="11"/>
  </w:num>
  <w:num w:numId="33" w16cid:durableId="1719544494">
    <w:abstractNumId w:val="16"/>
  </w:num>
  <w:num w:numId="34" w16cid:durableId="586424193">
    <w:abstractNumId w:val="16"/>
  </w:num>
  <w:num w:numId="35" w16cid:durableId="203368205">
    <w:abstractNumId w:val="5"/>
  </w:num>
  <w:num w:numId="36" w16cid:durableId="822619441">
    <w:abstractNumId w:val="10"/>
  </w:num>
  <w:num w:numId="37" w16cid:durableId="9567144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2101C"/>
    <w:rsid w:val="00024312"/>
    <w:rsid w:val="00030588"/>
    <w:rsid w:val="000335A2"/>
    <w:rsid w:val="00035798"/>
    <w:rsid w:val="00037B03"/>
    <w:rsid w:val="00067A4C"/>
    <w:rsid w:val="00076F06"/>
    <w:rsid w:val="00077247"/>
    <w:rsid w:val="000841DA"/>
    <w:rsid w:val="000855B8"/>
    <w:rsid w:val="00087A9A"/>
    <w:rsid w:val="0009044F"/>
    <w:rsid w:val="000933B6"/>
    <w:rsid w:val="00094944"/>
    <w:rsid w:val="000957D6"/>
    <w:rsid w:val="000A3700"/>
    <w:rsid w:val="000B4525"/>
    <w:rsid w:val="000B51C6"/>
    <w:rsid w:val="000B5286"/>
    <w:rsid w:val="000C1368"/>
    <w:rsid w:val="000D3D32"/>
    <w:rsid w:val="000D4082"/>
    <w:rsid w:val="000D51CD"/>
    <w:rsid w:val="000D6E3B"/>
    <w:rsid w:val="000D7711"/>
    <w:rsid w:val="000F0130"/>
    <w:rsid w:val="000F2CA0"/>
    <w:rsid w:val="00110DCF"/>
    <w:rsid w:val="00121D6B"/>
    <w:rsid w:val="00122E7F"/>
    <w:rsid w:val="00127178"/>
    <w:rsid w:val="001338B7"/>
    <w:rsid w:val="001348AC"/>
    <w:rsid w:val="00146B2F"/>
    <w:rsid w:val="001547BE"/>
    <w:rsid w:val="0016005C"/>
    <w:rsid w:val="00162617"/>
    <w:rsid w:val="00165863"/>
    <w:rsid w:val="00167EED"/>
    <w:rsid w:val="00176EFD"/>
    <w:rsid w:val="00192390"/>
    <w:rsid w:val="00192E2D"/>
    <w:rsid w:val="001973BF"/>
    <w:rsid w:val="00197843"/>
    <w:rsid w:val="001A0825"/>
    <w:rsid w:val="001C0D36"/>
    <w:rsid w:val="001C79A1"/>
    <w:rsid w:val="001E606C"/>
    <w:rsid w:val="001F709D"/>
    <w:rsid w:val="00200750"/>
    <w:rsid w:val="002040AD"/>
    <w:rsid w:val="00207CBA"/>
    <w:rsid w:val="002138E1"/>
    <w:rsid w:val="00214438"/>
    <w:rsid w:val="00230B91"/>
    <w:rsid w:val="002317AD"/>
    <w:rsid w:val="00241E90"/>
    <w:rsid w:val="002531E6"/>
    <w:rsid w:val="00260FAC"/>
    <w:rsid w:val="00264E10"/>
    <w:rsid w:val="0026765E"/>
    <w:rsid w:val="00273E6C"/>
    <w:rsid w:val="00280CE9"/>
    <w:rsid w:val="00290971"/>
    <w:rsid w:val="00291859"/>
    <w:rsid w:val="00292C50"/>
    <w:rsid w:val="002954D8"/>
    <w:rsid w:val="00297FF8"/>
    <w:rsid w:val="002A0B22"/>
    <w:rsid w:val="002A0BF5"/>
    <w:rsid w:val="002A538D"/>
    <w:rsid w:val="002A57B4"/>
    <w:rsid w:val="002B0640"/>
    <w:rsid w:val="002C08B1"/>
    <w:rsid w:val="002C6B35"/>
    <w:rsid w:val="002D4724"/>
    <w:rsid w:val="002E1490"/>
    <w:rsid w:val="002E505D"/>
    <w:rsid w:val="002F0BC7"/>
    <w:rsid w:val="002F66DE"/>
    <w:rsid w:val="00301A01"/>
    <w:rsid w:val="003115E7"/>
    <w:rsid w:val="00313346"/>
    <w:rsid w:val="00314D3D"/>
    <w:rsid w:val="00317EC1"/>
    <w:rsid w:val="00332E7C"/>
    <w:rsid w:val="0033665C"/>
    <w:rsid w:val="00344C4B"/>
    <w:rsid w:val="00346EA7"/>
    <w:rsid w:val="00355001"/>
    <w:rsid w:val="00356604"/>
    <w:rsid w:val="00356D03"/>
    <w:rsid w:val="003631CC"/>
    <w:rsid w:val="003766BD"/>
    <w:rsid w:val="003809E1"/>
    <w:rsid w:val="003809E3"/>
    <w:rsid w:val="00383210"/>
    <w:rsid w:val="00386F94"/>
    <w:rsid w:val="00392739"/>
    <w:rsid w:val="00393282"/>
    <w:rsid w:val="0039578C"/>
    <w:rsid w:val="00397D2B"/>
    <w:rsid w:val="003A5879"/>
    <w:rsid w:val="003A6C5B"/>
    <w:rsid w:val="003A75B4"/>
    <w:rsid w:val="003A7F98"/>
    <w:rsid w:val="003B3BF0"/>
    <w:rsid w:val="003C263F"/>
    <w:rsid w:val="003C32BE"/>
    <w:rsid w:val="003C4A6F"/>
    <w:rsid w:val="003D22C6"/>
    <w:rsid w:val="003E0075"/>
    <w:rsid w:val="003E595D"/>
    <w:rsid w:val="003F4202"/>
    <w:rsid w:val="003F60FE"/>
    <w:rsid w:val="003F7B7C"/>
    <w:rsid w:val="004040C3"/>
    <w:rsid w:val="00412AC9"/>
    <w:rsid w:val="00414659"/>
    <w:rsid w:val="00417E6E"/>
    <w:rsid w:val="00421203"/>
    <w:rsid w:val="004303BC"/>
    <w:rsid w:val="0043054C"/>
    <w:rsid w:val="00441EEB"/>
    <w:rsid w:val="00443BA0"/>
    <w:rsid w:val="00453B12"/>
    <w:rsid w:val="004601DB"/>
    <w:rsid w:val="00475EE2"/>
    <w:rsid w:val="0049738F"/>
    <w:rsid w:val="004A0679"/>
    <w:rsid w:val="004B6A20"/>
    <w:rsid w:val="004C3083"/>
    <w:rsid w:val="004D03B3"/>
    <w:rsid w:val="004E1CF9"/>
    <w:rsid w:val="004E4061"/>
    <w:rsid w:val="004E68B3"/>
    <w:rsid w:val="004F08DF"/>
    <w:rsid w:val="004F2903"/>
    <w:rsid w:val="004F59D6"/>
    <w:rsid w:val="004F665E"/>
    <w:rsid w:val="00521DD3"/>
    <w:rsid w:val="005273C3"/>
    <w:rsid w:val="0054064B"/>
    <w:rsid w:val="00545E37"/>
    <w:rsid w:val="0055032C"/>
    <w:rsid w:val="0056464A"/>
    <w:rsid w:val="00564DAA"/>
    <w:rsid w:val="00567739"/>
    <w:rsid w:val="00575B3D"/>
    <w:rsid w:val="005900AA"/>
    <w:rsid w:val="00593443"/>
    <w:rsid w:val="005A38FE"/>
    <w:rsid w:val="005A4488"/>
    <w:rsid w:val="005A6301"/>
    <w:rsid w:val="005A663B"/>
    <w:rsid w:val="005B2476"/>
    <w:rsid w:val="005B334A"/>
    <w:rsid w:val="005B683B"/>
    <w:rsid w:val="005C1FAB"/>
    <w:rsid w:val="005C3338"/>
    <w:rsid w:val="005C4EDA"/>
    <w:rsid w:val="005C5690"/>
    <w:rsid w:val="005D7334"/>
    <w:rsid w:val="005E0B20"/>
    <w:rsid w:val="005F5277"/>
    <w:rsid w:val="005F5769"/>
    <w:rsid w:val="005F71C7"/>
    <w:rsid w:val="0060108D"/>
    <w:rsid w:val="0060356D"/>
    <w:rsid w:val="00630262"/>
    <w:rsid w:val="006324A9"/>
    <w:rsid w:val="00635E23"/>
    <w:rsid w:val="00640F25"/>
    <w:rsid w:val="006525B9"/>
    <w:rsid w:val="00660099"/>
    <w:rsid w:val="00661AB9"/>
    <w:rsid w:val="006629B4"/>
    <w:rsid w:val="006630B5"/>
    <w:rsid w:val="00663A25"/>
    <w:rsid w:val="006672FA"/>
    <w:rsid w:val="00672025"/>
    <w:rsid w:val="00674E3C"/>
    <w:rsid w:val="00680293"/>
    <w:rsid w:val="00685D63"/>
    <w:rsid w:val="006961FB"/>
    <w:rsid w:val="0069AEF5"/>
    <w:rsid w:val="006A4146"/>
    <w:rsid w:val="006C0739"/>
    <w:rsid w:val="006C0A9B"/>
    <w:rsid w:val="006D5A22"/>
    <w:rsid w:val="006D750A"/>
    <w:rsid w:val="006E2672"/>
    <w:rsid w:val="006E4B17"/>
    <w:rsid w:val="006E6BAC"/>
    <w:rsid w:val="006F11C1"/>
    <w:rsid w:val="00701D46"/>
    <w:rsid w:val="007064FB"/>
    <w:rsid w:val="0071466D"/>
    <w:rsid w:val="0071762A"/>
    <w:rsid w:val="00720073"/>
    <w:rsid w:val="00727ECE"/>
    <w:rsid w:val="00731013"/>
    <w:rsid w:val="0073386A"/>
    <w:rsid w:val="00745D1A"/>
    <w:rsid w:val="00763CEF"/>
    <w:rsid w:val="007645C4"/>
    <w:rsid w:val="00771DCF"/>
    <w:rsid w:val="0077220C"/>
    <w:rsid w:val="00777CBA"/>
    <w:rsid w:val="00784D94"/>
    <w:rsid w:val="00785D78"/>
    <w:rsid w:val="007A3F98"/>
    <w:rsid w:val="007A7EFD"/>
    <w:rsid w:val="007B13EA"/>
    <w:rsid w:val="007C0667"/>
    <w:rsid w:val="007C34E4"/>
    <w:rsid w:val="007D7E14"/>
    <w:rsid w:val="007E5545"/>
    <w:rsid w:val="007F0937"/>
    <w:rsid w:val="007F6D1C"/>
    <w:rsid w:val="008065A2"/>
    <w:rsid w:val="008135B9"/>
    <w:rsid w:val="0081506E"/>
    <w:rsid w:val="00823DA1"/>
    <w:rsid w:val="00827C38"/>
    <w:rsid w:val="008368E1"/>
    <w:rsid w:val="008549D2"/>
    <w:rsid w:val="0086117A"/>
    <w:rsid w:val="00862891"/>
    <w:rsid w:val="00862ABC"/>
    <w:rsid w:val="008675B9"/>
    <w:rsid w:val="008708D5"/>
    <w:rsid w:val="008758EE"/>
    <w:rsid w:val="008776B3"/>
    <w:rsid w:val="00890801"/>
    <w:rsid w:val="008914B7"/>
    <w:rsid w:val="008937F1"/>
    <w:rsid w:val="00895DE4"/>
    <w:rsid w:val="008B2A7B"/>
    <w:rsid w:val="008C7584"/>
    <w:rsid w:val="008D36C6"/>
    <w:rsid w:val="008D4177"/>
    <w:rsid w:val="008D78D4"/>
    <w:rsid w:val="008D7D8B"/>
    <w:rsid w:val="008F0BC7"/>
    <w:rsid w:val="009010A2"/>
    <w:rsid w:val="00903BE4"/>
    <w:rsid w:val="00905F05"/>
    <w:rsid w:val="00930583"/>
    <w:rsid w:val="00951576"/>
    <w:rsid w:val="00952132"/>
    <w:rsid w:val="00952564"/>
    <w:rsid w:val="009550DF"/>
    <w:rsid w:val="00963F05"/>
    <w:rsid w:val="00965A56"/>
    <w:rsid w:val="00981982"/>
    <w:rsid w:val="00987692"/>
    <w:rsid w:val="009949E3"/>
    <w:rsid w:val="009A7941"/>
    <w:rsid w:val="009B0575"/>
    <w:rsid w:val="009B297C"/>
    <w:rsid w:val="009B6889"/>
    <w:rsid w:val="009C20E0"/>
    <w:rsid w:val="009C33D7"/>
    <w:rsid w:val="009C52E2"/>
    <w:rsid w:val="009D2AE3"/>
    <w:rsid w:val="009E1DEC"/>
    <w:rsid w:val="009E263F"/>
    <w:rsid w:val="009F385E"/>
    <w:rsid w:val="00A069F4"/>
    <w:rsid w:val="00A10E9E"/>
    <w:rsid w:val="00A14473"/>
    <w:rsid w:val="00A175E6"/>
    <w:rsid w:val="00A2227E"/>
    <w:rsid w:val="00A2730F"/>
    <w:rsid w:val="00A32079"/>
    <w:rsid w:val="00A367C4"/>
    <w:rsid w:val="00A40DAF"/>
    <w:rsid w:val="00A42D72"/>
    <w:rsid w:val="00A501DA"/>
    <w:rsid w:val="00A57561"/>
    <w:rsid w:val="00A7127A"/>
    <w:rsid w:val="00A7483D"/>
    <w:rsid w:val="00A81919"/>
    <w:rsid w:val="00A95A69"/>
    <w:rsid w:val="00AA5F72"/>
    <w:rsid w:val="00AB5F35"/>
    <w:rsid w:val="00AC04A9"/>
    <w:rsid w:val="00AC4FDB"/>
    <w:rsid w:val="00AC6A6E"/>
    <w:rsid w:val="00AD5255"/>
    <w:rsid w:val="00AE50B5"/>
    <w:rsid w:val="00AE63DF"/>
    <w:rsid w:val="00AF026E"/>
    <w:rsid w:val="00B00EB1"/>
    <w:rsid w:val="00B06905"/>
    <w:rsid w:val="00B07E0C"/>
    <w:rsid w:val="00B124A8"/>
    <w:rsid w:val="00B12935"/>
    <w:rsid w:val="00B136B9"/>
    <w:rsid w:val="00B1449E"/>
    <w:rsid w:val="00B147AB"/>
    <w:rsid w:val="00B432E4"/>
    <w:rsid w:val="00B452DB"/>
    <w:rsid w:val="00B52D4F"/>
    <w:rsid w:val="00B55AB2"/>
    <w:rsid w:val="00B71C6D"/>
    <w:rsid w:val="00B81D9C"/>
    <w:rsid w:val="00B85A77"/>
    <w:rsid w:val="00B87B94"/>
    <w:rsid w:val="00B96C46"/>
    <w:rsid w:val="00B976F4"/>
    <w:rsid w:val="00BC0D83"/>
    <w:rsid w:val="00BC4C81"/>
    <w:rsid w:val="00BD180E"/>
    <w:rsid w:val="00BD1CDB"/>
    <w:rsid w:val="00BD2889"/>
    <w:rsid w:val="00BD464C"/>
    <w:rsid w:val="00BD6B8D"/>
    <w:rsid w:val="00BD6C3C"/>
    <w:rsid w:val="00BE0A04"/>
    <w:rsid w:val="00BE5BE6"/>
    <w:rsid w:val="00BE5C8D"/>
    <w:rsid w:val="00BE7C3E"/>
    <w:rsid w:val="00BF2E0A"/>
    <w:rsid w:val="00BF4DF7"/>
    <w:rsid w:val="00BF5289"/>
    <w:rsid w:val="00BF70CD"/>
    <w:rsid w:val="00BF711E"/>
    <w:rsid w:val="00BF751C"/>
    <w:rsid w:val="00C01766"/>
    <w:rsid w:val="00C077E8"/>
    <w:rsid w:val="00C17BE7"/>
    <w:rsid w:val="00C25E55"/>
    <w:rsid w:val="00C37189"/>
    <w:rsid w:val="00C37BEF"/>
    <w:rsid w:val="00C459B4"/>
    <w:rsid w:val="00C523B8"/>
    <w:rsid w:val="00C54AA0"/>
    <w:rsid w:val="00C55240"/>
    <w:rsid w:val="00C6229A"/>
    <w:rsid w:val="00C64588"/>
    <w:rsid w:val="00C67AD8"/>
    <w:rsid w:val="00C72A15"/>
    <w:rsid w:val="00C740E7"/>
    <w:rsid w:val="00C75EFB"/>
    <w:rsid w:val="00C7659B"/>
    <w:rsid w:val="00CA4CE9"/>
    <w:rsid w:val="00CA6CA4"/>
    <w:rsid w:val="00CB3C4B"/>
    <w:rsid w:val="00CB4D23"/>
    <w:rsid w:val="00CB5D3F"/>
    <w:rsid w:val="00CC3A64"/>
    <w:rsid w:val="00CC4614"/>
    <w:rsid w:val="00CC79CB"/>
    <w:rsid w:val="00CD54F4"/>
    <w:rsid w:val="00CE2097"/>
    <w:rsid w:val="00CE2985"/>
    <w:rsid w:val="00CE7977"/>
    <w:rsid w:val="00CF0764"/>
    <w:rsid w:val="00CF43D8"/>
    <w:rsid w:val="00D07073"/>
    <w:rsid w:val="00D25EB7"/>
    <w:rsid w:val="00D31168"/>
    <w:rsid w:val="00D4613B"/>
    <w:rsid w:val="00D67E70"/>
    <w:rsid w:val="00D72E73"/>
    <w:rsid w:val="00D84449"/>
    <w:rsid w:val="00D94D38"/>
    <w:rsid w:val="00D94F46"/>
    <w:rsid w:val="00DB29E3"/>
    <w:rsid w:val="00DB3CC8"/>
    <w:rsid w:val="00DC4C53"/>
    <w:rsid w:val="00DD434C"/>
    <w:rsid w:val="00DD6B41"/>
    <w:rsid w:val="00DE6A6A"/>
    <w:rsid w:val="00DF3A50"/>
    <w:rsid w:val="00DF6B0D"/>
    <w:rsid w:val="00DFCF75"/>
    <w:rsid w:val="00E003A2"/>
    <w:rsid w:val="00E00F93"/>
    <w:rsid w:val="00E03D39"/>
    <w:rsid w:val="00E137D1"/>
    <w:rsid w:val="00E25D1C"/>
    <w:rsid w:val="00E30B0F"/>
    <w:rsid w:val="00E33924"/>
    <w:rsid w:val="00E34636"/>
    <w:rsid w:val="00E41273"/>
    <w:rsid w:val="00E4647A"/>
    <w:rsid w:val="00E511A9"/>
    <w:rsid w:val="00E51260"/>
    <w:rsid w:val="00E61C7E"/>
    <w:rsid w:val="00E868A4"/>
    <w:rsid w:val="00E90FEE"/>
    <w:rsid w:val="00E932A5"/>
    <w:rsid w:val="00E97FF6"/>
    <w:rsid w:val="00EA0AE4"/>
    <w:rsid w:val="00EB45B9"/>
    <w:rsid w:val="00EB646A"/>
    <w:rsid w:val="00EC0ED8"/>
    <w:rsid w:val="00EC1CE5"/>
    <w:rsid w:val="00EE47B1"/>
    <w:rsid w:val="00EE599D"/>
    <w:rsid w:val="00F039A2"/>
    <w:rsid w:val="00F05A56"/>
    <w:rsid w:val="00F22354"/>
    <w:rsid w:val="00F22716"/>
    <w:rsid w:val="00F23E84"/>
    <w:rsid w:val="00F56097"/>
    <w:rsid w:val="00F7407D"/>
    <w:rsid w:val="00F7734E"/>
    <w:rsid w:val="00F8598B"/>
    <w:rsid w:val="00F90A7A"/>
    <w:rsid w:val="00F9670D"/>
    <w:rsid w:val="00FA33E0"/>
    <w:rsid w:val="00FA37CB"/>
    <w:rsid w:val="00FB1C0E"/>
    <w:rsid w:val="00FB757E"/>
    <w:rsid w:val="00FC07AA"/>
    <w:rsid w:val="00FC4092"/>
    <w:rsid w:val="00FC5386"/>
    <w:rsid w:val="00FC5DA6"/>
    <w:rsid w:val="00FC6AE7"/>
    <w:rsid w:val="00FE2785"/>
    <w:rsid w:val="00FF2AC5"/>
    <w:rsid w:val="00FF2AE8"/>
    <w:rsid w:val="00FF6BD8"/>
    <w:rsid w:val="00FF6FBC"/>
    <w:rsid w:val="0386F694"/>
    <w:rsid w:val="0B57725D"/>
    <w:rsid w:val="0B86C4D4"/>
    <w:rsid w:val="124DCBBB"/>
    <w:rsid w:val="19A00499"/>
    <w:rsid w:val="1B1821FA"/>
    <w:rsid w:val="2018AE25"/>
    <w:rsid w:val="260259B2"/>
    <w:rsid w:val="33F31266"/>
    <w:rsid w:val="355DF634"/>
    <w:rsid w:val="461E714E"/>
    <w:rsid w:val="52BA9590"/>
    <w:rsid w:val="5F28F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D36C6"/>
    <w:pPr>
      <w:overflowPunct/>
      <w:autoSpaceDE/>
      <w:autoSpaceDN/>
      <w:adjustRightInd/>
      <w:textAlignment w:val="auto"/>
    </w:pPr>
    <w:rPr>
      <w:rFonts w:eastAsia="Malgun Gothic"/>
      <w:b/>
      <w:bCs/>
      <w:sz w:val="20"/>
      <w:szCs w:val="20"/>
      <w:lang w:val="en-GB" w:eastAsia="en-US"/>
    </w:rPr>
  </w:style>
  <w:style w:type="character" w:customStyle="1" w:styleId="CommentSubjectChar">
    <w:name w:val="Comment Subject Char"/>
    <w:basedOn w:val="CommentTextChar"/>
    <w:link w:val="CommentSubject"/>
    <w:uiPriority w:val="99"/>
    <w:semiHidden/>
    <w:rsid w:val="008D36C6"/>
    <w:rPr>
      <w:rFonts w:ascii="Times New Roman" w:eastAsia="Malgun Gothic" w:hAnsi="Times New Roman" w:cs="Times New Roman"/>
      <w:b/>
      <w:bCs/>
      <w:kern w:val="0"/>
      <w:sz w:val="20"/>
      <w:szCs w:val="20"/>
      <w:lang w:val="en-GB"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5B4CC3D2-B443-4837-8F57-625D9F8A4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CD1BA-6A74-4D05-A707-D659A155C9AB}">
  <ds:schemaRefs>
    <ds:schemaRef ds:uri="1c6e7719-fcdf-43d9-93c1-f401bd4c4107"/>
    <ds:schemaRef ds:uri="http://schemas.microsoft.com/office/2006/documentManagement/types"/>
    <ds:schemaRef ds:uri="a3e265ce-35e5-406a-a577-2d283f2c1c3a"/>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purl.org/dc/elements/1.1/"/>
    <ds:schemaRef ds:uri="http://www.w3.org/XML/1998/namespace"/>
    <ds:schemaRef ds:uri="http://purl.org/dc/terms/"/>
  </ds:schemaRefs>
</ds:datastoreItem>
</file>

<file path=customXml/itemProps4.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77</TotalTime>
  <Pages>3</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416</cp:revision>
  <dcterms:created xsi:type="dcterms:W3CDTF">2023-09-25T21:46:00Z</dcterms:created>
  <dcterms:modified xsi:type="dcterms:W3CDTF">2024-05-10T01:41:00Z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